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548dd4"/>
          <w:sz w:val="24"/>
          <w:szCs w:val="24"/>
          <w:highlight w:val="whit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Совета Синтеза ИВО Подразделения ИВДИВО Днепр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Rule="auto"/>
        <w:jc w:val="center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Протокол Совета от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28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.0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4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white"/>
          <w:rtl w:val="0"/>
        </w:rPr>
        <w:t xml:space="preserve">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Согласовано Глава Совета Синтеза ИВО Соколовой Л.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Участвовали: 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1. Соколова Л.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2. Шинкаренко Т.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3. Тимошенко А.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Состоялось: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1.Вхождение в Совет Синтеза ИВО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и Праздник стяжания и явления Частей Человека ИВО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2.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Подведение итогов за месяц и год: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- Рассмотрение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исполнение Политики Синтеза подразделения ИВДИВО Днепр</w:t>
        <w:br w:type="textWrapping"/>
        <w:t xml:space="preserve">- Рассмотрение  годового Плана Синтеза  ИВО подразделения ИВДИВО Днепр.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3.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Рассмотрение рекомендации к 16-му Совету Синтеза ИВО ДП: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12 Совет ИВДИВО: рекомендации и разъяснения по 8-рице, ВАС, ИВДИВО-зданиям и Реализациям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Р14ИВДИВО. Изменение 16 Видов Организации Материи ИВО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- 84 Синтез ИВО 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Одно Ядро Синтеза Подразделения.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Юридическая фиксация 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-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Виды Материи в Космосе Учением Синтеза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  <w:br w:type="textWrapping"/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Обновление постоянных ЯС</w:t>
        <w:br w:type="textWrapping"/>
        <w:t xml:space="preserve">- 118 и 39 Синтез ИВО. 4 Пути ИВДИВО Аттестационным Синтезом ИВО</w:t>
        <w:br w:type="textWrapping"/>
        <w:t xml:space="preserve">- 5 Видов Царств в ИВДИВО и Книга Жизни</w:t>
        <w:br w:type="textWrapping"/>
        <w:t xml:space="preserve">- Обновление Монады и Частей.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4.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.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Стяжён Синтез ИВО на следующий месяц синтездеятельности.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Задачи: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Завершение года тезированием исполненных Эталонов данности ИВО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Формирование текста сборника Философа Синтеза по итогам реализации 8-риц ДП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Стяжание Плана Синтеза ИВО в Живом Космосе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Станца: </w:t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Содержание цельностью Определённости Путём ИВДИВО каждым</w:t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Составила ИВДИВО Секретарь  протокольного  синтеза  АТ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360" w:lineRule="auto"/>
        <w:jc w:val="right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